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6E" w:rsidRDefault="00CC06E4" w:rsidP="00BD30B7">
      <w:pPr>
        <w:tabs>
          <w:tab w:val="center" w:pos="5706"/>
          <w:tab w:val="right" w:pos="9076"/>
        </w:tabs>
        <w:ind w:left="0" w:firstLine="0"/>
        <w:jc w:val="left"/>
      </w:pPr>
      <w:r>
        <w:t xml:space="preserve"> </w:t>
      </w:r>
      <w:r>
        <w:tab/>
      </w:r>
      <w:r w:rsidR="0000636E">
        <w:rPr>
          <w:b/>
        </w:rPr>
        <w:t xml:space="preserve">                                                          </w:t>
      </w:r>
      <w:r w:rsidR="00BD30B7">
        <w:t xml:space="preserve"> </w:t>
      </w:r>
      <w:r w:rsidR="0000636E">
        <w:t xml:space="preserve">Iepirkuma procedūras Nr. </w:t>
      </w:r>
      <w:r>
        <w:t xml:space="preserve"> </w:t>
      </w:r>
      <w:r w:rsidR="00424B9C">
        <w:rPr>
          <w:u w:val="single"/>
        </w:rPr>
        <w:t>C</w:t>
      </w:r>
      <w:r w:rsidR="00BD30B7" w:rsidRPr="00A13430">
        <w:rPr>
          <w:u w:val="single"/>
        </w:rPr>
        <w:t xml:space="preserve">S </w:t>
      </w:r>
      <w:r w:rsidR="00807EF6">
        <w:rPr>
          <w:u w:val="single"/>
        </w:rPr>
        <w:t>2023</w:t>
      </w:r>
      <w:r w:rsidR="00424B9C">
        <w:rPr>
          <w:u w:val="single"/>
        </w:rPr>
        <w:t>/1</w:t>
      </w:r>
      <w:r w:rsidR="00BD30B7">
        <w:rPr>
          <w:u w:val="single"/>
        </w:rPr>
        <w:t xml:space="preserve">  </w:t>
      </w:r>
      <w:r w:rsidR="00807EF6">
        <w:rPr>
          <w:u w:val="single"/>
        </w:rPr>
        <w:t>CA</w:t>
      </w:r>
    </w:p>
    <w:p w:rsidR="0093256E" w:rsidRDefault="00CC06E4" w:rsidP="00BD30B7">
      <w:pPr>
        <w:spacing w:after="0" w:line="259" w:lineRule="auto"/>
        <w:ind w:left="0" w:right="995" w:firstLine="0"/>
        <w:jc w:val="right"/>
      </w:pPr>
      <w:r>
        <w:t>Nolikuma</w:t>
      </w:r>
      <w:r>
        <w:rPr>
          <w:b/>
        </w:rPr>
        <w:t xml:space="preserve"> 4.pielikums </w:t>
      </w:r>
    </w:p>
    <w:p w:rsidR="0093256E" w:rsidRDefault="00CC06E4">
      <w:pPr>
        <w:spacing w:line="239" w:lineRule="auto"/>
        <w:ind w:left="4537" w:right="63" w:firstLine="0"/>
        <w:jc w:val="left"/>
      </w:pPr>
      <w:r>
        <w:rPr>
          <w:b/>
        </w:rPr>
        <w:t xml:space="preserve">  </w:t>
      </w:r>
    </w:p>
    <w:p w:rsidR="0093256E" w:rsidRDefault="00CC06E4">
      <w:pPr>
        <w:pStyle w:val="Virsraksts1"/>
      </w:pPr>
      <w:r>
        <w:t xml:space="preserve">PRASĪBAS FINANŠU PIEDĀVĀJUMA SAGATAVOŠANAI  </w:t>
      </w:r>
    </w:p>
    <w:p w:rsidR="0093256E" w:rsidRDefault="00CC06E4">
      <w:pPr>
        <w:spacing w:after="0" w:line="259" w:lineRule="auto"/>
        <w:ind w:left="0" w:firstLine="0"/>
        <w:jc w:val="left"/>
      </w:pPr>
      <w:r>
        <w:rPr>
          <w:b/>
        </w:rPr>
        <w:t xml:space="preserve"> </w:t>
      </w:r>
    </w:p>
    <w:p w:rsidR="0093256E" w:rsidRDefault="00CC06E4">
      <w:pPr>
        <w:spacing w:after="0" w:line="259" w:lineRule="auto"/>
        <w:ind w:left="0" w:firstLine="0"/>
        <w:jc w:val="left"/>
      </w:pPr>
      <w:r>
        <w:rPr>
          <w:b/>
        </w:rPr>
        <w:t xml:space="preserve"> </w:t>
      </w:r>
    </w:p>
    <w:p w:rsidR="0093256E" w:rsidRDefault="00CC06E4">
      <w:pPr>
        <w:pStyle w:val="Virsraksts2"/>
        <w:ind w:left="-5" w:right="0"/>
      </w:pPr>
      <w:r>
        <w:rPr>
          <w:rFonts w:ascii="Arial" w:eastAsia="Arial" w:hAnsi="Arial" w:cs="Arial"/>
          <w:sz w:val="20"/>
        </w:rPr>
        <w:t xml:space="preserve">1. </w:t>
      </w:r>
      <w:r>
        <w:t xml:space="preserve">Vispārīgie nosacījumi </w:t>
      </w:r>
    </w:p>
    <w:p w:rsidR="0093256E" w:rsidRDefault="00CC06E4">
      <w:pPr>
        <w:spacing w:after="10" w:line="259" w:lineRule="auto"/>
        <w:ind w:left="360" w:firstLine="0"/>
        <w:jc w:val="left"/>
      </w:pPr>
      <w:r>
        <w:rPr>
          <w:b/>
        </w:rPr>
        <w:t xml:space="preserve"> </w:t>
      </w:r>
    </w:p>
    <w:p w:rsidR="0093256E" w:rsidRDefault="00CC06E4">
      <w:pPr>
        <w:ind w:left="979"/>
      </w:pPr>
      <w:r>
        <w:rPr>
          <w:rFonts w:ascii="Times New Roman" w:eastAsia="Times New Roman" w:hAnsi="Times New Roman" w:cs="Times New Roman"/>
        </w:rPr>
        <w:t>1.1.</w:t>
      </w:r>
      <w:r>
        <w:rPr>
          <w:rFonts w:ascii="Arial" w:eastAsia="Arial" w:hAnsi="Arial" w:cs="Arial"/>
        </w:rPr>
        <w:t xml:space="preserve"> </w:t>
      </w:r>
      <w:r>
        <w:t>Finanšu piedāv</w:t>
      </w:r>
      <w:r w:rsidR="00BC07B6">
        <w:t>ājuma forma (iekļauta nolikuma 7</w:t>
      </w:r>
      <w:r>
        <w:t>.pielikumā) un Darbu apjom</w:t>
      </w:r>
      <w:r w:rsidR="00BC07B6">
        <w:t>u tāmes (pievienotas Nolikuma 10</w:t>
      </w:r>
      <w:bookmarkStart w:id="0" w:name="_GoBack"/>
      <w:bookmarkEnd w:id="0"/>
      <w:r>
        <w:t xml:space="preserve">.pielikumā), kas aizpildītas ievērojot šajā pielikumā noteiktās prasības, veido Pretendenta Finanšu piedāvājumu.  </w:t>
      </w:r>
    </w:p>
    <w:p w:rsidR="0093256E" w:rsidRDefault="00CC06E4">
      <w:pPr>
        <w:ind w:left="979"/>
      </w:pPr>
      <w:r>
        <w:rPr>
          <w:rFonts w:ascii="Times New Roman" w:eastAsia="Times New Roman" w:hAnsi="Times New Roman" w:cs="Times New Roman"/>
        </w:rPr>
        <w:t>1.2.</w:t>
      </w:r>
      <w:r>
        <w:rPr>
          <w:rFonts w:ascii="Arial" w:eastAsia="Arial" w:hAnsi="Arial" w:cs="Arial"/>
        </w:rPr>
        <w:t xml:space="preserve"> </w:t>
      </w:r>
      <w:r>
        <w:t>Tāmes ir jāaizpilda atbilstoši Latvijas Republikas Ministru kabineta 2017.gada 3.maija noteikumiem Nr.239 “Noteikumi par Latvijas būvnormatīvu LBN 501-17 “</w:t>
      </w:r>
      <w:proofErr w:type="spellStart"/>
      <w:r>
        <w:t>Būvizmaksu</w:t>
      </w:r>
      <w:proofErr w:type="spellEnd"/>
      <w:r>
        <w:t xml:space="preserve"> noteikšanas kārtība””.</w:t>
      </w:r>
      <w:r>
        <w:rPr>
          <w:color w:val="FF0000"/>
        </w:rPr>
        <w:t xml:space="preserve"> </w:t>
      </w:r>
      <w:r>
        <w:t xml:space="preserve"> </w:t>
      </w:r>
    </w:p>
    <w:p w:rsidR="0093256E" w:rsidRDefault="00CC06E4">
      <w:pPr>
        <w:ind w:left="979"/>
      </w:pPr>
      <w:r>
        <w:rPr>
          <w:rFonts w:ascii="Times New Roman" w:eastAsia="Times New Roman" w:hAnsi="Times New Roman" w:cs="Times New Roman"/>
        </w:rPr>
        <w:t>1.3.</w:t>
      </w:r>
      <w:r>
        <w:rPr>
          <w:rFonts w:ascii="Arial" w:eastAsia="Arial" w:hAnsi="Arial" w:cs="Arial"/>
        </w:rPr>
        <w:t xml:space="preserve"> </w:t>
      </w:r>
      <w:r>
        <w:rPr>
          <w:rFonts w:ascii="Arial" w:eastAsia="Arial" w:hAnsi="Arial" w:cs="Arial"/>
        </w:rPr>
        <w:tab/>
      </w:r>
      <w:r>
        <w:t xml:space="preserve">Finanšu piedāvājums iesniedzams gan elektroniskā veidā (MS Excel programmā), gan papīra formātā.  </w:t>
      </w:r>
    </w:p>
    <w:p w:rsidR="0093256E" w:rsidRDefault="00CC06E4">
      <w:pPr>
        <w:ind w:left="979"/>
      </w:pPr>
      <w:r>
        <w:rPr>
          <w:rFonts w:ascii="Times New Roman" w:eastAsia="Times New Roman" w:hAnsi="Times New Roman" w:cs="Times New Roman"/>
        </w:rPr>
        <w:t>1.4.</w:t>
      </w:r>
      <w:r>
        <w:rPr>
          <w:rFonts w:ascii="Arial" w:eastAsia="Arial" w:hAnsi="Arial" w:cs="Arial"/>
        </w:rPr>
        <w:t xml:space="preserve"> </w:t>
      </w:r>
      <w:r>
        <w:t xml:space="preserve">Aizpildot tāmes un kopsavilkuma formu, Pretendents var izmantot dažādas aprēķinu funkcijas, tai skaitā lietot noapaļošanu tā, lai visas cenas tiktu uzrādītas ar </w:t>
      </w:r>
      <w:r>
        <w:rPr>
          <w:u w:val="single" w:color="000000"/>
        </w:rPr>
        <w:t>diviem cipariem</w:t>
      </w:r>
      <w:r>
        <w:t xml:space="preserve"> </w:t>
      </w:r>
      <w:r>
        <w:rPr>
          <w:u w:val="single" w:color="000000"/>
        </w:rPr>
        <w:t>aiz komata.</w:t>
      </w:r>
      <w:r>
        <w:t xml:space="preserve"> </w:t>
      </w:r>
    </w:p>
    <w:p w:rsidR="0093256E" w:rsidRDefault="00CC06E4">
      <w:pPr>
        <w:ind w:left="979"/>
      </w:pPr>
      <w:r>
        <w:rPr>
          <w:rFonts w:ascii="Times New Roman" w:eastAsia="Times New Roman" w:hAnsi="Times New Roman" w:cs="Times New Roman"/>
        </w:rPr>
        <w:t>1.5.</w:t>
      </w:r>
      <w:r>
        <w:rPr>
          <w:rFonts w:ascii="Arial" w:eastAsia="Arial" w:hAnsi="Arial" w:cs="Arial"/>
        </w:rPr>
        <w:t xml:space="preserve"> </w:t>
      </w:r>
      <w:r>
        <w:rPr>
          <w:rFonts w:ascii="Arial" w:eastAsia="Arial" w:hAnsi="Arial" w:cs="Arial"/>
        </w:rPr>
        <w:tab/>
      </w:r>
      <w:r>
        <w:t xml:space="preserve">Tāmju elektroniskajai versijai jāsakrīt ar papīra formātā iesniegto versiju, tas ir, tik cipari cik parādās aiz komata elektroniskajā versijā, tāpat jāparādās arī papīra iesniegtajā formātā.  </w:t>
      </w:r>
    </w:p>
    <w:p w:rsidR="0093256E" w:rsidRDefault="00CC06E4">
      <w:pPr>
        <w:ind w:left="979"/>
      </w:pPr>
      <w:r>
        <w:rPr>
          <w:rFonts w:ascii="Times New Roman" w:eastAsia="Times New Roman" w:hAnsi="Times New Roman" w:cs="Times New Roman"/>
        </w:rPr>
        <w:t>1.6.</w:t>
      </w:r>
      <w:r>
        <w:rPr>
          <w:rFonts w:ascii="Arial" w:eastAsia="Arial" w:hAnsi="Arial" w:cs="Arial"/>
        </w:rPr>
        <w:t xml:space="preserve"> </w:t>
      </w:r>
      <w:r>
        <w:rPr>
          <w:rFonts w:ascii="Arial" w:eastAsia="Arial" w:hAnsi="Arial" w:cs="Arial"/>
        </w:rPr>
        <w:tab/>
      </w:r>
      <w:r>
        <w:t xml:space="preserve">Pretendents nedrīkst dzēst vai koriģēt Iepirkuma komisijas apstiprinātajās tāmju formās ierakstīto.  </w:t>
      </w:r>
    </w:p>
    <w:p w:rsidR="0093256E" w:rsidRDefault="00CC06E4">
      <w:pPr>
        <w:tabs>
          <w:tab w:val="center" w:pos="526"/>
          <w:tab w:val="center" w:pos="4472"/>
        </w:tabs>
        <w:ind w:left="0" w:firstLine="0"/>
        <w:jc w:val="left"/>
      </w:pPr>
      <w:r>
        <w:tab/>
      </w:r>
      <w:r>
        <w:rPr>
          <w:rFonts w:ascii="Times New Roman" w:eastAsia="Times New Roman" w:hAnsi="Times New Roman" w:cs="Times New Roman"/>
        </w:rPr>
        <w:t>1.7.</w:t>
      </w:r>
      <w:r>
        <w:rPr>
          <w:rFonts w:ascii="Arial" w:eastAsia="Arial" w:hAnsi="Arial" w:cs="Arial"/>
        </w:rPr>
        <w:t xml:space="preserve"> </w:t>
      </w:r>
      <w:r>
        <w:rPr>
          <w:rFonts w:ascii="Arial" w:eastAsia="Arial" w:hAnsi="Arial" w:cs="Arial"/>
        </w:rPr>
        <w:tab/>
      </w:r>
      <w:r>
        <w:t xml:space="preserve">Uzņēmējam jāpārliecinās par Tāmēs iekļauto apjomu atbilstību Būvprojektam. </w:t>
      </w:r>
    </w:p>
    <w:p w:rsidR="0093256E" w:rsidRDefault="00CC06E4">
      <w:pPr>
        <w:ind w:left="979"/>
      </w:pPr>
      <w:r>
        <w:rPr>
          <w:rFonts w:ascii="Times New Roman" w:eastAsia="Times New Roman" w:hAnsi="Times New Roman" w:cs="Times New Roman"/>
        </w:rPr>
        <w:t>1.8.</w:t>
      </w:r>
      <w:r>
        <w:rPr>
          <w:rFonts w:ascii="Arial" w:eastAsia="Arial" w:hAnsi="Arial" w:cs="Arial"/>
        </w:rPr>
        <w:t xml:space="preserve"> </w:t>
      </w:r>
      <w:r>
        <w:t xml:space="preserve">Ja tiek konstatēta darbu apjomu neatbilstība starp Būvprojektu un tāmēm, noteicošais ir Būvprojekts. Par konstatētajām neatbilstībām starp Būvprojektā un tāmēs minēto, Pretendentam ne vēlāk kā Nolikumā noteiktajā termiņā jāinformē Pasūtītājs. </w:t>
      </w:r>
    </w:p>
    <w:p w:rsidR="0093256E" w:rsidRDefault="00CC06E4">
      <w:pPr>
        <w:ind w:left="979"/>
      </w:pPr>
      <w:r>
        <w:rPr>
          <w:rFonts w:ascii="Times New Roman" w:eastAsia="Times New Roman" w:hAnsi="Times New Roman" w:cs="Times New Roman"/>
        </w:rPr>
        <w:t>1.9.</w:t>
      </w:r>
      <w:r>
        <w:rPr>
          <w:rFonts w:ascii="Arial" w:eastAsia="Arial" w:hAnsi="Arial" w:cs="Arial"/>
        </w:rPr>
        <w:t xml:space="preserve"> </w:t>
      </w:r>
      <w:r w:rsidR="0000636E">
        <w:t>iepirkuma procedūras</w:t>
      </w:r>
      <w:r>
        <w:t xml:space="preserve"> piedāvājuma vērtēšanas laikā Pretendents var tikt lūgts iesniegt detalizētāku piedāvājumā minēto cenu pozīciju atšifrējumu. </w:t>
      </w:r>
    </w:p>
    <w:p w:rsidR="0093256E" w:rsidRDefault="00CC06E4">
      <w:pPr>
        <w:spacing w:after="0" w:line="259" w:lineRule="auto"/>
        <w:ind w:left="0" w:firstLine="0"/>
        <w:jc w:val="left"/>
      </w:pPr>
      <w:r>
        <w:t xml:space="preserve"> </w:t>
      </w:r>
    </w:p>
    <w:p w:rsidR="0093256E" w:rsidRDefault="00CC06E4">
      <w:pPr>
        <w:pStyle w:val="Virsraksts2"/>
        <w:ind w:left="370" w:right="0"/>
      </w:pPr>
      <w:r>
        <w:t xml:space="preserve">Vienības cena un vispārīgie samaksas nosacījumi </w:t>
      </w:r>
    </w:p>
    <w:p w:rsidR="0093256E" w:rsidRDefault="00CC06E4">
      <w:pPr>
        <w:spacing w:after="9" w:line="259" w:lineRule="auto"/>
        <w:ind w:left="360" w:firstLine="0"/>
        <w:jc w:val="left"/>
      </w:pPr>
      <w:r>
        <w:rPr>
          <w:b/>
        </w:rPr>
        <w:t xml:space="preserve"> </w:t>
      </w:r>
    </w:p>
    <w:p w:rsidR="0093256E" w:rsidRDefault="00CC06E4">
      <w:pPr>
        <w:ind w:left="345" w:firstLine="0"/>
      </w:pPr>
      <w:r>
        <w:rPr>
          <w:rFonts w:ascii="Times New Roman" w:eastAsia="Times New Roman" w:hAnsi="Times New Roman" w:cs="Times New Roman"/>
        </w:rPr>
        <w:t>1.10.</w:t>
      </w:r>
      <w:r>
        <w:rPr>
          <w:rFonts w:ascii="Arial" w:eastAsia="Arial" w:hAnsi="Arial" w:cs="Arial"/>
        </w:rPr>
        <w:t xml:space="preserve"> </w:t>
      </w:r>
      <w:r>
        <w:t xml:space="preserve"> Vienības cenas ir fiksētas un nav maināmas Līguma izpildes laikā. </w:t>
      </w:r>
    </w:p>
    <w:p w:rsidR="0093256E" w:rsidRDefault="00CC06E4">
      <w:pPr>
        <w:ind w:left="345" w:firstLine="0"/>
      </w:pPr>
      <w:r>
        <w:rPr>
          <w:rFonts w:ascii="Times New Roman" w:eastAsia="Times New Roman" w:hAnsi="Times New Roman" w:cs="Times New Roman"/>
        </w:rPr>
        <w:t>1.11.</w:t>
      </w:r>
      <w:r>
        <w:rPr>
          <w:rFonts w:ascii="Arial" w:eastAsia="Arial" w:hAnsi="Arial" w:cs="Arial"/>
        </w:rPr>
        <w:t xml:space="preserve"> </w:t>
      </w:r>
      <w:r>
        <w:t xml:space="preserve">Uzņēmējam ir jāaizpilda visas Tāmēs norādītās pozīcijas.  </w:t>
      </w:r>
    </w:p>
    <w:p w:rsidR="0093256E" w:rsidRDefault="00CC06E4">
      <w:pPr>
        <w:ind w:left="979"/>
      </w:pPr>
      <w:r>
        <w:rPr>
          <w:rFonts w:ascii="Times New Roman" w:eastAsia="Times New Roman" w:hAnsi="Times New Roman" w:cs="Times New Roman"/>
        </w:rPr>
        <w:t>1.12.</w:t>
      </w:r>
      <w:r>
        <w:rPr>
          <w:rFonts w:ascii="Arial" w:eastAsia="Arial" w:hAnsi="Arial" w:cs="Arial"/>
        </w:rPr>
        <w:t xml:space="preserve"> </w:t>
      </w:r>
      <w:r>
        <w:t xml:space="preserve">Neskatoties uz jebkādiem ierobežojumiem, ko var ietvert Tāmju atsevišķu pozīciju vai šīs Finanšu piedāvājuma veidnes formulējumi, Uzņēmējam jāsaprot, ka summas, ko Uzņēmējs ierakstījis finanšu piedāvājuma pozīcijās, attiecināmas tikai uz pilnībā pabeigtu darbu – tīru darba apjomu, svaru, izmēriem, ekspluatācijai gatavu būvi, neņemot vērā radušos atlikumus, atgriezumus, utt.  </w:t>
      </w:r>
    </w:p>
    <w:p w:rsidR="0093256E" w:rsidRDefault="00CC06E4">
      <w:pPr>
        <w:ind w:left="984" w:firstLine="0"/>
      </w:pPr>
      <w:r>
        <w:t xml:space="preserve">Finanšu piedāvājuma cenā, ko veido Tāmju izmaksu pozīcijas, jābūt iekļautiem visiem plānotajiem izdevumiem par darbu, pakalpojumiem, materiāliem un iekārtām, kas nepieciešami Līguma izpildei pilnā apmērā un atbilstošā kvalitātē Līgumā noteiktajā termiņā, lai nodotu ekspluatācijā būvobjektu saskaņā Latvijas Republikas normatīvajiem aktiem, atbildīgo institūciju prasībām un Līguma noteikumiem, tai skaitā Tehnisko specifikāciju un Būvprojektu. </w:t>
      </w:r>
    </w:p>
    <w:p w:rsidR="0093256E" w:rsidRDefault="00CC06E4">
      <w:pPr>
        <w:ind w:left="979"/>
      </w:pPr>
      <w:r>
        <w:rPr>
          <w:rFonts w:ascii="Times New Roman" w:eastAsia="Times New Roman" w:hAnsi="Times New Roman" w:cs="Times New Roman"/>
        </w:rPr>
        <w:t>1.13.</w:t>
      </w:r>
      <w:r>
        <w:rPr>
          <w:rFonts w:ascii="Arial" w:eastAsia="Arial" w:hAnsi="Arial" w:cs="Arial"/>
        </w:rPr>
        <w:t xml:space="preserve"> </w:t>
      </w:r>
      <w:r>
        <w:t xml:space="preserve">Vienības cenās ir jāietver un Finanšu piedāvājuma cenā jāiekļauj, visas tādas tiešas un netiešas izmaksas, ja nav noteiktas atsevišķi, kas saistītas ar Līguma prasību ievērošanu, piem. Izbūvēto darbu pārbaudes, paraugu ņemšana, ziņojumu sagatavošana, izpildes dokumentācijas sagatavošana un saskaņošana, uzņēmēja darba telpu izveide būvlaukumā, transports, satiksmes organizācija, darbu drošība, būvvietas apsardze, ielu slaucīšana, būvvietas attīrīšana no gružiem, visa veida pagaidu darbi un palīgdarbi, būvdarbu vadība, darbinieku algas, nodevas, apdrošināšana un izpildes nodrošinājums. </w:t>
      </w:r>
    </w:p>
    <w:p w:rsidR="0093256E" w:rsidRDefault="00CC06E4">
      <w:pPr>
        <w:spacing w:after="0" w:line="259" w:lineRule="auto"/>
        <w:ind w:left="360" w:firstLine="0"/>
        <w:jc w:val="left"/>
      </w:pPr>
      <w:r>
        <w:lastRenderedPageBreak/>
        <w:t xml:space="preserve"> </w:t>
      </w:r>
    </w:p>
    <w:p w:rsidR="0093256E" w:rsidRDefault="00CC06E4">
      <w:pPr>
        <w:spacing w:after="14" w:line="239" w:lineRule="auto"/>
        <w:ind w:left="0" w:right="8042" w:firstLine="0"/>
        <w:jc w:val="left"/>
      </w:pPr>
      <w:r>
        <w:t xml:space="preserve">  </w:t>
      </w:r>
    </w:p>
    <w:p w:rsidR="0093256E" w:rsidRDefault="00CC06E4">
      <w:pPr>
        <w:pStyle w:val="Virsraksts2"/>
        <w:ind w:left="-5" w:right="0"/>
      </w:pPr>
      <w:r>
        <w:rPr>
          <w:rFonts w:ascii="Arial" w:eastAsia="Arial" w:hAnsi="Arial" w:cs="Arial"/>
          <w:sz w:val="20"/>
        </w:rPr>
        <w:t xml:space="preserve">2. </w:t>
      </w:r>
      <w:r>
        <w:t xml:space="preserve">Ražotāju un produktu nosaukumi </w:t>
      </w:r>
    </w:p>
    <w:p w:rsidR="0093256E" w:rsidRDefault="00CC06E4">
      <w:pPr>
        <w:spacing w:after="0" w:line="259" w:lineRule="auto"/>
        <w:ind w:left="360" w:firstLine="0"/>
        <w:jc w:val="left"/>
      </w:pPr>
      <w:r>
        <w:rPr>
          <w:b/>
        </w:rPr>
        <w:t xml:space="preserve"> </w:t>
      </w:r>
    </w:p>
    <w:p w:rsidR="0093256E" w:rsidRPr="00D047CC" w:rsidRDefault="00CC06E4" w:rsidP="0000636E">
      <w:pPr>
        <w:ind w:left="0" w:firstLine="0"/>
        <w:rPr>
          <w:b/>
        </w:rPr>
      </w:pPr>
      <w:r>
        <w:t xml:space="preserve">Ja Tāmēs, Būvprojektā un Tehniskajā specifikācijā minēti konkrēti materiāli vai materiālu ražotāju nosaukumi, vai izstrādājumu/produktu nosaukumi (arī zīmoli), Pretendents drīkst piedāvāt un Tāmēs izcenot šiem konkrētajiem materiāliem un produktiem ekvivalentus citu ražotāju materiālus un produktus, kuri atbilst Tehnisko specifikāciju prasībām. </w:t>
      </w:r>
    </w:p>
    <w:p w:rsidR="00D047CC" w:rsidRPr="00B861F5" w:rsidRDefault="00D047CC" w:rsidP="00D047CC">
      <w:pPr>
        <w:ind w:left="426"/>
        <w:rPr>
          <w:sz w:val="24"/>
          <w:szCs w:val="24"/>
        </w:rPr>
      </w:pPr>
    </w:p>
    <w:p w:rsidR="00D047CC" w:rsidRDefault="00D047CC" w:rsidP="0000636E">
      <w:pPr>
        <w:ind w:left="0" w:firstLine="0"/>
      </w:pPr>
    </w:p>
    <w:sectPr w:rsidR="00D047CC">
      <w:pgSz w:w="11906" w:h="16838"/>
      <w:pgMar w:top="1174" w:right="1128" w:bottom="71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6E"/>
    <w:rsid w:val="0000636E"/>
    <w:rsid w:val="00424B9C"/>
    <w:rsid w:val="00807EF6"/>
    <w:rsid w:val="0093256E"/>
    <w:rsid w:val="00BC07B6"/>
    <w:rsid w:val="00BD30B7"/>
    <w:rsid w:val="00BF3174"/>
    <w:rsid w:val="00CC06E4"/>
    <w:rsid w:val="00D047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DDDEE-B806-4854-830B-B13D568D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22" w:line="249" w:lineRule="auto"/>
      <w:ind w:left="742" w:hanging="634"/>
      <w:jc w:val="both"/>
    </w:pPr>
    <w:rPr>
      <w:rFonts w:ascii="Calibri" w:eastAsia="Calibri" w:hAnsi="Calibri" w:cs="Calibri"/>
      <w:color w:val="000000"/>
    </w:rPr>
  </w:style>
  <w:style w:type="paragraph" w:styleId="Virsraksts1">
    <w:name w:val="heading 1"/>
    <w:next w:val="Parasts"/>
    <w:link w:val="Virsraksts1Rakstz"/>
    <w:uiPriority w:val="9"/>
    <w:unhideWhenUsed/>
    <w:qFormat/>
    <w:pPr>
      <w:keepNext/>
      <w:keepLines/>
      <w:spacing w:after="0"/>
      <w:ind w:right="1"/>
      <w:jc w:val="center"/>
      <w:outlineLvl w:val="0"/>
    </w:pPr>
    <w:rPr>
      <w:rFonts w:ascii="Calibri" w:eastAsia="Calibri" w:hAnsi="Calibri" w:cs="Calibri"/>
      <w:b/>
      <w:color w:val="000000"/>
      <w:sz w:val="24"/>
    </w:rPr>
  </w:style>
  <w:style w:type="paragraph" w:styleId="Virsraksts2">
    <w:name w:val="heading 2"/>
    <w:next w:val="Parasts"/>
    <w:link w:val="Virsraksts2Rakstz"/>
    <w:uiPriority w:val="9"/>
    <w:unhideWhenUsed/>
    <w:qFormat/>
    <w:pPr>
      <w:keepNext/>
      <w:keepLines/>
      <w:spacing w:after="0"/>
      <w:ind w:left="10" w:right="995" w:hanging="10"/>
      <w:outlineLvl w:val="1"/>
    </w:pPr>
    <w:rPr>
      <w:rFonts w:ascii="Calibri" w:eastAsia="Calibri" w:hAnsi="Calibri" w:cs="Calibri"/>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Calibri" w:eastAsia="Calibri" w:hAnsi="Calibri" w:cs="Calibri"/>
      <w:b/>
      <w:color w:val="000000"/>
      <w:sz w:val="24"/>
    </w:rPr>
  </w:style>
  <w:style w:type="character" w:customStyle="1" w:styleId="Virsraksts2Rakstz">
    <w:name w:val="Virsraksts 2 Rakstz."/>
    <w:link w:val="Virsraksts2"/>
    <w:rPr>
      <w:rFonts w:ascii="Calibri" w:eastAsia="Calibri" w:hAnsi="Calibri" w:cs="Calibri"/>
      <w:b/>
      <w:color w:val="000000"/>
      <w:sz w:val="22"/>
    </w:rPr>
  </w:style>
  <w:style w:type="paragraph" w:styleId="Kjene">
    <w:name w:val="footer"/>
    <w:aliases w:val=" Char5 Char,Footer Char, Char5 Char Char,Char5 Char, Char5 Char Char Char,Char5 Char Char"/>
    <w:basedOn w:val="Parasts"/>
    <w:link w:val="KjeneRakstz"/>
    <w:unhideWhenUsed/>
    <w:rsid w:val="00D047CC"/>
    <w:pPr>
      <w:widowControl w:val="0"/>
      <w:tabs>
        <w:tab w:val="center" w:pos="4153"/>
        <w:tab w:val="right" w:pos="8306"/>
      </w:tabs>
      <w:autoSpaceDE w:val="0"/>
      <w:autoSpaceDN w:val="0"/>
      <w:spacing w:after="0" w:line="240" w:lineRule="auto"/>
      <w:ind w:left="0" w:firstLine="0"/>
      <w:jc w:val="left"/>
    </w:pPr>
    <w:rPr>
      <w:rFonts w:ascii="Times New Roman" w:eastAsia="Times New Roman" w:hAnsi="Times New Roman" w:cs="Times New Roman"/>
      <w:color w:val="auto"/>
      <w:lang w:val="lv" w:eastAsia="lv"/>
    </w:rPr>
  </w:style>
  <w:style w:type="character" w:customStyle="1" w:styleId="KjeneRakstz">
    <w:name w:val="Kājene Rakstz."/>
    <w:aliases w:val=" Char5 Char Rakstz.,Footer Char Rakstz., Char5 Char Char Rakstz.,Char5 Char Rakstz., Char5 Char Char Char Rakstz.,Char5 Char Char Rakstz."/>
    <w:basedOn w:val="Noklusjumarindkopasfonts"/>
    <w:link w:val="Kjene"/>
    <w:rsid w:val="00D047CC"/>
    <w:rPr>
      <w:rFonts w:ascii="Times New Roman" w:eastAsia="Times New Roman" w:hAnsi="Times New Roman" w:cs="Times New Roman"/>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2373</Words>
  <Characters>1353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Ciekurze</dc:creator>
  <cp:keywords/>
  <cp:lastModifiedBy>Windows User</cp:lastModifiedBy>
  <cp:revision>3</cp:revision>
  <dcterms:created xsi:type="dcterms:W3CDTF">2023-09-10T13:10:00Z</dcterms:created>
  <dcterms:modified xsi:type="dcterms:W3CDTF">2023-09-10T13:11:00Z</dcterms:modified>
</cp:coreProperties>
</file>